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FEA8A" w14:textId="43C70B76" w:rsidR="00AE09CE" w:rsidRPr="009135E9" w:rsidRDefault="00E35DB0" w:rsidP="0092725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9135E9">
        <w:rPr>
          <w:rFonts w:ascii="Arial" w:hAnsi="Arial" w:cs="Arial"/>
          <w:b/>
          <w:sz w:val="30"/>
          <w:szCs w:val="30"/>
        </w:rPr>
        <w:t>Étude des crédits</w:t>
      </w:r>
      <w:r w:rsidR="00E97793" w:rsidRPr="009135E9">
        <w:rPr>
          <w:rFonts w:ascii="Arial" w:hAnsi="Arial" w:cs="Arial"/>
          <w:b/>
          <w:sz w:val="30"/>
          <w:szCs w:val="30"/>
        </w:rPr>
        <w:t xml:space="preserve"> 2020-2021</w:t>
      </w:r>
    </w:p>
    <w:p w14:paraId="460F9618" w14:textId="37CB8336" w:rsidR="00E97793" w:rsidRDefault="0037376F" w:rsidP="0092725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06"/>
      </w:tblGrid>
      <w:tr w:rsidR="0037376F" w14:paraId="1789FF77" w14:textId="77777777" w:rsidTr="0037376F">
        <w:tc>
          <w:tcPr>
            <w:tcW w:w="10106" w:type="dxa"/>
          </w:tcPr>
          <w:p w14:paraId="56D628A2" w14:textId="02247D39" w:rsidR="0037376F" w:rsidRDefault="0037376F" w:rsidP="0092725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8DABFAC" w14:textId="1A1535C0" w:rsidR="009135E9" w:rsidRPr="005079E6" w:rsidRDefault="009135E9" w:rsidP="009135E9">
            <w:pPr>
              <w:spacing w:after="240" w:line="240" w:lineRule="auto"/>
              <w:jc w:val="center"/>
              <w:rPr>
                <w:rFonts w:ascii="Arial" w:hAnsi="Arial" w:cs="Arial"/>
                <w:b/>
                <w:snapToGrid w:val="0"/>
                <w:sz w:val="30"/>
                <w:szCs w:val="30"/>
                <w:lang w:val="fr-FR"/>
              </w:rPr>
            </w:pPr>
            <w:r w:rsidRPr="005079E6">
              <w:rPr>
                <w:rFonts w:ascii="Arial" w:hAnsi="Arial" w:cs="Arial"/>
                <w:b/>
                <w:snapToGrid w:val="0"/>
                <w:sz w:val="30"/>
                <w:szCs w:val="30"/>
                <w:lang w:val="fr-FR"/>
              </w:rPr>
              <w:t xml:space="preserve">Le Sens de l’essentiel : </w:t>
            </w:r>
            <w:r>
              <w:rPr>
                <w:rFonts w:ascii="Arial" w:hAnsi="Arial" w:cs="Arial"/>
                <w:b/>
                <w:snapToGrid w:val="0"/>
                <w:sz w:val="30"/>
                <w:szCs w:val="30"/>
                <w:lang w:val="fr-FR"/>
              </w:rPr>
              <w:t>Déploiement du financement axé sur les patients</w:t>
            </w:r>
          </w:p>
          <w:p w14:paraId="7AF81501" w14:textId="77777777" w:rsidR="009135E9" w:rsidRPr="00B2574D" w:rsidRDefault="009135E9" w:rsidP="009135E9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val="fr-FR"/>
              </w:rPr>
            </w:pPr>
          </w:p>
          <w:p w14:paraId="4231426A" w14:textId="79E3DDF2" w:rsidR="009135E9" w:rsidRDefault="0037376F" w:rsidP="009135E9">
            <w:pPr>
              <w:pStyle w:val="Paragraphedeliste"/>
              <w:numPr>
                <w:ilvl w:val="0"/>
                <w:numId w:val="40"/>
              </w:numPr>
              <w:spacing w:after="24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Budget de 100 M$</w:t>
            </w:r>
            <w:r w:rsidR="009135E9"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 pour les projets de déploiement du Financement axé sur les patients</w:t>
            </w:r>
            <w:r w:rsid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 </w:t>
            </w:r>
            <w:r w:rsidR="009135E9"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(FAP)</w:t>
            </w:r>
            <w:r w:rsidR="001C36FC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,</w:t>
            </w:r>
            <w:r w:rsidR="009135E9"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 du système informatisé </w:t>
            </w:r>
            <w:r w:rsid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unifié de gestion des ressources humaines et de la paie (SIURH)</w:t>
            </w:r>
            <w:r w:rsidR="001C36FC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 et du système intégré de gestion financière et des approvisionnements (SIGFA)</w:t>
            </w:r>
          </w:p>
          <w:p w14:paraId="35C686E6" w14:textId="1C2A0C9C" w:rsidR="00E82531" w:rsidRPr="009135E9" w:rsidRDefault="00E82531" w:rsidP="009135E9">
            <w:pPr>
              <w:pStyle w:val="Paragraphedeliste"/>
              <w:numPr>
                <w:ilvl w:val="0"/>
                <w:numId w:val="40"/>
              </w:numPr>
              <w:spacing w:after="24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Économies significatives et renforcements de l’accès dans l’ensemble des activités visées par le financement à l’activité</w:t>
            </w:r>
          </w:p>
          <w:p w14:paraId="6204DE15" w14:textId="6E4AFB2A" w:rsidR="0037376F" w:rsidRPr="009135E9" w:rsidRDefault="0037376F" w:rsidP="009135E9">
            <w:pPr>
              <w:pStyle w:val="Paragraphedeliste"/>
              <w:numPr>
                <w:ilvl w:val="0"/>
                <w:numId w:val="40"/>
              </w:numPr>
              <w:spacing w:after="24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30 des 31 établissements sont déployés. </w:t>
            </w:r>
          </w:p>
          <w:p w14:paraId="5DA4AF80" w14:textId="77777777" w:rsidR="0037376F" w:rsidRPr="009135E9" w:rsidRDefault="0037376F" w:rsidP="001C36FC">
            <w:pPr>
              <w:pStyle w:val="Paragraphedeliste"/>
              <w:numPr>
                <w:ilvl w:val="0"/>
                <w:numId w:val="40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Intégration des données des exercices :</w:t>
            </w:r>
          </w:p>
          <w:p w14:paraId="4F25EB2F" w14:textId="77777777" w:rsidR="0037376F" w:rsidRPr="009135E9" w:rsidRDefault="0037376F" w:rsidP="001C36F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>2016-2017 = en totalité sauf le CLSC de Naskapi</w:t>
            </w:r>
          </w:p>
          <w:p w14:paraId="589C12E9" w14:textId="7B238570" w:rsidR="0037376F" w:rsidRPr="009135E9" w:rsidRDefault="0037376F" w:rsidP="001C36F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>2017-2018 = 15 des 31 établissements avancement à 48</w:t>
            </w:r>
            <w:r w:rsid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 xml:space="preserve"> </w:t>
            </w:r>
            <w:r w:rsidRP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>%</w:t>
            </w:r>
          </w:p>
          <w:p w14:paraId="28F01259" w14:textId="46EC87D3" w:rsidR="0037376F" w:rsidRPr="009135E9" w:rsidRDefault="0037376F" w:rsidP="009135E9">
            <w:pPr>
              <w:pStyle w:val="Paragraphedeliste"/>
              <w:numPr>
                <w:ilvl w:val="0"/>
                <w:numId w:val="41"/>
              </w:numPr>
              <w:spacing w:after="24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>2018-2019 = 14 des 31 établissements avancement à 45</w:t>
            </w:r>
            <w:r w:rsid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 xml:space="preserve"> </w:t>
            </w:r>
            <w:r w:rsidRPr="009135E9">
              <w:rPr>
                <w:rFonts w:asciiTheme="minorHAnsi" w:eastAsiaTheme="minorHAnsi" w:hAnsiTheme="minorHAnsi" w:cstheme="minorHAnsi"/>
                <w:sz w:val="26"/>
                <w:szCs w:val="26"/>
              </w:rPr>
              <w:t>%</w:t>
            </w:r>
          </w:p>
          <w:p w14:paraId="3288FDBC" w14:textId="518F376C" w:rsidR="0037376F" w:rsidRPr="009135E9" w:rsidRDefault="0037376F" w:rsidP="009135E9">
            <w:pPr>
              <w:pStyle w:val="Paragraphedeliste"/>
              <w:numPr>
                <w:ilvl w:val="0"/>
                <w:numId w:val="40"/>
              </w:numPr>
              <w:spacing w:after="24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Objectif : Intégration de la totalité des données d’ici </w:t>
            </w:r>
            <w:r w:rsid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 xml:space="preserve">le 31 </w:t>
            </w: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mars 2021</w:t>
            </w:r>
          </w:p>
          <w:p w14:paraId="338CF73E" w14:textId="77777777" w:rsidR="0037376F" w:rsidRPr="009135E9" w:rsidRDefault="0037376F" w:rsidP="001C36FC">
            <w:pPr>
              <w:pStyle w:val="Paragraphedeliste"/>
              <w:numPr>
                <w:ilvl w:val="0"/>
                <w:numId w:val="40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</w:pPr>
            <w:r w:rsidRPr="009135E9">
              <w:rPr>
                <w:rFonts w:asciiTheme="minorHAnsi" w:eastAsiaTheme="minorHAnsi" w:hAnsiTheme="minorHAnsi" w:cstheme="minorHAnsi"/>
                <w:b/>
                <w:sz w:val="26"/>
                <w:szCs w:val="26"/>
              </w:rPr>
              <w:t>Financement à l’activité incorporé dans les secteurs suivants :</w:t>
            </w:r>
          </w:p>
          <w:p w14:paraId="2890B373" w14:textId="77777777" w:rsidR="0037376F" w:rsidRPr="001C36FC" w:rsidRDefault="0037376F" w:rsidP="001C36F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1C36FC">
              <w:rPr>
                <w:rFonts w:asciiTheme="minorHAnsi" w:eastAsiaTheme="minorHAnsi" w:hAnsiTheme="minorHAnsi" w:cstheme="minorHAnsi"/>
                <w:sz w:val="26"/>
                <w:szCs w:val="26"/>
              </w:rPr>
              <w:t>volumes additionnels en chirurgie</w:t>
            </w:r>
          </w:p>
          <w:p w14:paraId="7504BF8D" w14:textId="77777777" w:rsidR="0037376F" w:rsidRPr="001C36FC" w:rsidRDefault="0037376F" w:rsidP="001C36F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1C36FC">
              <w:rPr>
                <w:rFonts w:asciiTheme="minorHAnsi" w:eastAsiaTheme="minorHAnsi" w:hAnsiTheme="minorHAnsi" w:cstheme="minorHAnsi"/>
                <w:sz w:val="26"/>
                <w:szCs w:val="26"/>
              </w:rPr>
              <w:t>imagerie médicale</w:t>
            </w:r>
          </w:p>
          <w:p w14:paraId="331A68BD" w14:textId="77777777" w:rsidR="0037376F" w:rsidRPr="001C36FC" w:rsidRDefault="0037376F" w:rsidP="001C36F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contextualSpacing w:val="0"/>
              <w:jc w:val="both"/>
              <w:rPr>
                <w:rFonts w:asciiTheme="minorHAnsi" w:eastAsiaTheme="minorHAnsi" w:hAnsiTheme="minorHAnsi" w:cstheme="minorHAnsi"/>
                <w:sz w:val="26"/>
                <w:szCs w:val="26"/>
              </w:rPr>
            </w:pPr>
            <w:r w:rsidRPr="001C36FC">
              <w:rPr>
                <w:rFonts w:asciiTheme="minorHAnsi" w:eastAsiaTheme="minorHAnsi" w:hAnsiTheme="minorHAnsi" w:cstheme="minorHAnsi"/>
                <w:sz w:val="26"/>
                <w:szCs w:val="26"/>
              </w:rPr>
              <w:t>coloscopie</w:t>
            </w:r>
          </w:p>
          <w:p w14:paraId="4AA0D7F7" w14:textId="68C05181" w:rsidR="0037376F" w:rsidRPr="0037376F" w:rsidRDefault="0037376F" w:rsidP="001C36FC">
            <w:pPr>
              <w:pStyle w:val="Paragraphedeliste"/>
              <w:numPr>
                <w:ilvl w:val="0"/>
                <w:numId w:val="41"/>
              </w:numPr>
              <w:spacing w:after="240" w:line="240" w:lineRule="auto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1C36FC">
              <w:rPr>
                <w:rFonts w:asciiTheme="minorHAnsi" w:eastAsiaTheme="minorHAnsi" w:hAnsiTheme="minorHAnsi" w:cstheme="minorHAnsi"/>
                <w:sz w:val="26"/>
                <w:szCs w:val="26"/>
              </w:rPr>
              <w:t>radio-oncologie</w:t>
            </w:r>
          </w:p>
        </w:tc>
      </w:tr>
    </w:tbl>
    <w:p w14:paraId="7BC9D2F2" w14:textId="77777777" w:rsidR="0037376F" w:rsidRPr="00E82531" w:rsidRDefault="0037376F" w:rsidP="00E82531">
      <w:pPr>
        <w:spacing w:after="0" w:line="240" w:lineRule="auto"/>
        <w:rPr>
          <w:rFonts w:ascii="Arial" w:hAnsi="Arial" w:cs="Arial"/>
          <w:b/>
          <w:sz w:val="2"/>
          <w:szCs w:val="2"/>
        </w:rPr>
      </w:pPr>
    </w:p>
    <w:tbl>
      <w:tblPr>
        <w:tblStyle w:val="Grilledutableau"/>
        <w:tblpPr w:leftFromText="141" w:rightFromText="141" w:vertAnchor="text" w:horzAnchor="margin" w:tblpY="939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BF5FC0" w:rsidRPr="007178B7" w14:paraId="3599DE8F" w14:textId="77777777" w:rsidTr="009E6476">
        <w:trPr>
          <w:trHeight w:val="433"/>
        </w:trPr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2BF537" w14:textId="77777777" w:rsidR="00BF5FC0" w:rsidRPr="007178B7" w:rsidRDefault="00BF5FC0" w:rsidP="0092725E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b/>
                <w:snapToGrid w:val="0"/>
                <w:lang w:val="fr-FR"/>
              </w:rPr>
              <w:t>Enjeux pour la population et principales positions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AE32D" w14:textId="77777777" w:rsidR="00BF5FC0" w:rsidRPr="007178B7" w:rsidRDefault="00BF5FC0" w:rsidP="0092725E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b/>
                <w:snapToGrid w:val="0"/>
                <w:lang w:val="fr-FR"/>
              </w:rPr>
              <w:t>Messages clés</w:t>
            </w:r>
          </w:p>
        </w:tc>
      </w:tr>
      <w:tr w:rsidR="00691085" w:rsidRPr="007178B7" w14:paraId="38AA3DE0" w14:textId="77777777" w:rsidTr="00E82531">
        <w:trPr>
          <w:trHeight w:val="1294"/>
        </w:trPr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8C917" w14:textId="48FFFE13" w:rsidR="00A967A8" w:rsidRPr="007178B7" w:rsidRDefault="00A967A8" w:rsidP="00E82531">
            <w:pPr>
              <w:spacing w:after="0" w:line="240" w:lineRule="auto"/>
              <w:rPr>
                <w:rFonts w:ascii="Arial" w:hAnsi="Arial" w:cs="Arial"/>
                <w:b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b/>
                <w:snapToGrid w:val="0"/>
                <w:lang w:val="fr-FR"/>
              </w:rPr>
              <w:t>1.  Enjeu</w:t>
            </w:r>
          </w:p>
          <w:p w14:paraId="529AF167" w14:textId="7C197301" w:rsidR="00691085" w:rsidRPr="007178B7" w:rsidRDefault="00DC1C4D" w:rsidP="00E82531">
            <w:pPr>
              <w:spacing w:after="120" w:line="240" w:lineRule="auto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>Les problèmes d’accessibilité, les pressions sur les dépenses, les questionnements concernant la qualité des soins et les enjeux liés à l’équité sont les principaux défis du système de santé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 xml:space="preserve"> et de services sociaux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. Les dépenses de santé (incluant les services sociaux) représentent une part considérable des dépenses consolidées du gouvernement du Québec, et cette part ne cesse d’augmenter.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AEEB6" w14:textId="77777777" w:rsidR="007D5DC3" w:rsidRPr="007178B7" w:rsidRDefault="007D5DC3" w:rsidP="00E82531">
            <w:pPr>
              <w:spacing w:after="0" w:line="240" w:lineRule="auto"/>
              <w:rPr>
                <w:rFonts w:ascii="Arial" w:hAnsi="Arial" w:cs="Arial"/>
                <w:snapToGrid w:val="0"/>
                <w:lang w:val="fr-FR"/>
              </w:rPr>
            </w:pPr>
          </w:p>
          <w:p w14:paraId="4897EC4C" w14:textId="1313F53B" w:rsidR="00DC1C4D" w:rsidRPr="007178B7" w:rsidRDefault="00DC1C4D" w:rsidP="00E82531">
            <w:pPr>
              <w:spacing w:after="0" w:line="240" w:lineRule="auto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>Le gouvernement du Québec s’est engagé dans une réforme importante visant à assurer des soins efficients axés sur les patients. En introduisant le financement axé sur le patient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(FAP), il a pour objectif de remplacer le financement de type historique présentement en vigueur dans le système de santé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 xml:space="preserve"> et de services sociaux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. Il s’agit ici de mettre le patient au centre des activités de l’établissement dans la distribution des ressources.</w:t>
            </w:r>
          </w:p>
          <w:p w14:paraId="3A4E3724" w14:textId="77777777" w:rsidR="00B104D6" w:rsidRPr="007178B7" w:rsidRDefault="00B104D6" w:rsidP="00E82531">
            <w:pPr>
              <w:spacing w:after="0" w:line="240" w:lineRule="auto"/>
              <w:rPr>
                <w:rFonts w:ascii="Arial" w:hAnsi="Arial" w:cs="Arial"/>
                <w:snapToGrid w:val="0"/>
                <w:lang w:val="fr-FR"/>
              </w:rPr>
            </w:pPr>
          </w:p>
          <w:p w14:paraId="1D2BE984" w14:textId="5A878975" w:rsidR="00DC1C4D" w:rsidRPr="007178B7" w:rsidRDefault="00DC1C4D" w:rsidP="00E82531">
            <w:pPr>
              <w:spacing w:after="120" w:line="240" w:lineRule="auto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>Ce projet permettra de mieux contenir la croissance des dépenses en santé et de suivre l’impact des importantes ressources déployées dans ce domaine.</w:t>
            </w:r>
          </w:p>
        </w:tc>
      </w:tr>
      <w:tr w:rsidR="00BF5FC0" w:rsidRPr="007178B7" w14:paraId="1D38EDF3" w14:textId="77777777" w:rsidTr="00E82531">
        <w:trPr>
          <w:trHeight w:val="1645"/>
        </w:trPr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49ACE" w14:textId="77777777" w:rsidR="000A5D8A" w:rsidRPr="007178B7" w:rsidRDefault="000A5D8A" w:rsidP="00E82531">
            <w:pPr>
              <w:spacing w:after="0" w:line="240" w:lineRule="auto"/>
              <w:rPr>
                <w:rFonts w:ascii="Arial" w:hAnsi="Arial" w:cs="Arial"/>
                <w:b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b/>
                <w:snapToGrid w:val="0"/>
                <w:lang w:val="fr-FR"/>
              </w:rPr>
              <w:t>2.  Enjeu</w:t>
            </w:r>
          </w:p>
          <w:p w14:paraId="506F0AE5" w14:textId="77777777" w:rsidR="000A5D8A" w:rsidRPr="007178B7" w:rsidRDefault="00A967A8" w:rsidP="00E82531">
            <w:pPr>
              <w:spacing w:before="120" w:after="120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>Il y a des carences dans les données cliniques et financières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,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 xml:space="preserve"> d’où l’importance d’investir afin de pouvoir assurer l’implantation du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FAP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 xml:space="preserve"> par la modernisation et la normalisation des systèmes d’information dans le secteur de la santé.</w:t>
            </w:r>
          </w:p>
          <w:p w14:paraId="3E072B0F" w14:textId="47DCE86C" w:rsidR="00FB6A08" w:rsidRPr="001C36FC" w:rsidRDefault="00FB6A08" w:rsidP="00E82531">
            <w:pPr>
              <w:spacing w:before="120" w:after="120"/>
              <w:rPr>
                <w:rFonts w:ascii="Arial" w:hAnsi="Arial" w:cs="Arial"/>
                <w:i/>
                <w:snapToGrid w:val="0"/>
                <w:lang w:val="fr-FR"/>
              </w:rPr>
            </w:pPr>
            <w:r w:rsidRPr="001C36FC">
              <w:rPr>
                <w:rFonts w:ascii="Arial" w:hAnsi="Arial" w:cs="Arial"/>
                <w:i/>
                <w:snapToGrid w:val="0"/>
                <w:lang w:val="fr-FR"/>
              </w:rPr>
              <w:t>Étude des crédits : PLQ #26</w:t>
            </w:r>
            <w:r w:rsidR="00BD369E" w:rsidRPr="001C36FC">
              <w:rPr>
                <w:rFonts w:ascii="Arial" w:hAnsi="Arial" w:cs="Arial"/>
                <w:i/>
                <w:snapToGrid w:val="0"/>
                <w:lang w:val="fr-FR"/>
              </w:rPr>
              <w:t>, PQ # 102</w:t>
            </w:r>
          </w:p>
          <w:p w14:paraId="3CFA4CDB" w14:textId="41DC5DCC" w:rsidR="00FB6A08" w:rsidRPr="007178B7" w:rsidRDefault="00FB6A08" w:rsidP="00E82531">
            <w:pPr>
              <w:spacing w:before="120" w:after="120"/>
              <w:rPr>
                <w:rFonts w:ascii="Arial" w:hAnsi="Arial" w:cs="Arial"/>
                <w:color w:val="0070C0"/>
                <w:u w:val="single"/>
              </w:rPr>
            </w:pPr>
            <w:r w:rsidRPr="001C36FC">
              <w:rPr>
                <w:rFonts w:ascii="Arial" w:hAnsi="Arial" w:cs="Arial"/>
                <w:i/>
                <w:snapToGrid w:val="0"/>
                <w:lang w:val="fr-FR"/>
              </w:rPr>
              <w:t>Fiche parlementaire # 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B09C4" w14:textId="654902DB" w:rsidR="00DC1C4D" w:rsidRPr="007178B7" w:rsidRDefault="00DC1C4D" w:rsidP="00E82531">
            <w:pPr>
              <w:spacing w:before="120" w:after="60" w:line="240" w:lineRule="auto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 xml:space="preserve">Le 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m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inistère de la Santé et des Services sociaux a conclu un partenariat à durée limitée avec un fournisseur, afin de tirer profit de son expertise reconnue sur le coût de revient ainsi que dans les pratiques et l’information cliniques.</w:t>
            </w:r>
          </w:p>
          <w:p w14:paraId="3C0DE521" w14:textId="77777777" w:rsidR="00A648F9" w:rsidRPr="007178B7" w:rsidRDefault="00A648F9" w:rsidP="00E82531">
            <w:pPr>
              <w:spacing w:after="60" w:line="240" w:lineRule="auto"/>
              <w:rPr>
                <w:rFonts w:ascii="Arial" w:hAnsi="Arial" w:cs="Arial"/>
                <w:snapToGrid w:val="0"/>
                <w:lang w:val="fr-FR"/>
              </w:rPr>
            </w:pPr>
          </w:p>
          <w:p w14:paraId="69633018" w14:textId="4D137DBA" w:rsidR="00AD3160" w:rsidRPr="007178B7" w:rsidRDefault="00AD3160" w:rsidP="00E82531">
            <w:pPr>
              <w:spacing w:after="0" w:line="240" w:lineRule="auto"/>
              <w:rPr>
                <w:rFonts w:ascii="Arial" w:hAnsi="Arial" w:cs="Arial"/>
                <w:snapToGrid w:val="0"/>
                <w:lang w:val="fr-FR"/>
              </w:rPr>
            </w:pPr>
            <w:r w:rsidRPr="007178B7">
              <w:rPr>
                <w:rFonts w:ascii="Arial" w:hAnsi="Arial" w:cs="Arial"/>
                <w:snapToGrid w:val="0"/>
                <w:lang w:val="fr-FR"/>
              </w:rPr>
              <w:t>L’implantation du coût par parcours de soins et services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(CPSS) en cinq phases pour l’ensemble du Québec, en excluant les régions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17 et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18, s’est terminé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e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 xml:space="preserve"> en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décembre</w:t>
            </w:r>
            <w:r w:rsidR="00B104D6" w:rsidRPr="007178B7">
              <w:rPr>
                <w:rFonts w:ascii="Arial" w:hAnsi="Arial" w:cs="Arial"/>
                <w:snapToGrid w:val="0"/>
                <w:lang w:val="fr-FR"/>
              </w:rPr>
              <w:t> </w:t>
            </w:r>
            <w:r w:rsidRPr="007178B7">
              <w:rPr>
                <w:rFonts w:ascii="Arial" w:hAnsi="Arial" w:cs="Arial"/>
                <w:snapToGrid w:val="0"/>
                <w:lang w:val="fr-FR"/>
              </w:rPr>
              <w:t>2019.</w:t>
            </w:r>
          </w:p>
        </w:tc>
      </w:tr>
    </w:tbl>
    <w:p w14:paraId="7D74EC96" w14:textId="77777777" w:rsidR="009258B4" w:rsidRDefault="009258B4" w:rsidP="00E82531">
      <w:pPr>
        <w:spacing w:before="360" w:after="0" w:line="240" w:lineRule="auto"/>
        <w:rPr>
          <w:rFonts w:ascii="Arial" w:hAnsi="Arial" w:cs="Arial"/>
          <w:b/>
        </w:rPr>
      </w:pPr>
    </w:p>
    <w:p w14:paraId="656F873A" w14:textId="363A1DC0" w:rsidR="00F7121A" w:rsidRDefault="00F7121A" w:rsidP="009258B4">
      <w:pPr>
        <w:spacing w:after="120" w:line="240" w:lineRule="auto"/>
        <w:jc w:val="center"/>
        <w:rPr>
          <w:rFonts w:ascii="Arial" w:hAnsi="Arial" w:cs="Arial"/>
          <w:b/>
        </w:rPr>
      </w:pPr>
    </w:p>
    <w:p w14:paraId="6E942165" w14:textId="43D206F1" w:rsidR="001C36FC" w:rsidRDefault="001C36FC" w:rsidP="009258B4">
      <w:pPr>
        <w:spacing w:after="120" w:line="240" w:lineRule="auto"/>
        <w:jc w:val="center"/>
        <w:rPr>
          <w:rFonts w:ascii="Arial" w:hAnsi="Arial" w:cs="Arial"/>
          <w:b/>
        </w:rPr>
      </w:pPr>
    </w:p>
    <w:p w14:paraId="6B613114" w14:textId="0AA4AAD4" w:rsidR="001C36FC" w:rsidRDefault="001C36FC" w:rsidP="009258B4">
      <w:pPr>
        <w:spacing w:after="120" w:line="240" w:lineRule="auto"/>
        <w:jc w:val="center"/>
        <w:rPr>
          <w:rFonts w:ascii="Arial" w:hAnsi="Arial" w:cs="Arial"/>
          <w:b/>
        </w:rPr>
      </w:pPr>
    </w:p>
    <w:p w14:paraId="6A3A437B" w14:textId="77777777" w:rsidR="001C36FC" w:rsidRPr="007178B7" w:rsidRDefault="001C36FC" w:rsidP="009258B4">
      <w:pPr>
        <w:spacing w:after="120" w:line="240" w:lineRule="auto"/>
        <w:jc w:val="center"/>
        <w:rPr>
          <w:rFonts w:ascii="Arial" w:hAnsi="Arial" w:cs="Arial"/>
          <w:b/>
        </w:rPr>
      </w:pPr>
    </w:p>
    <w:tbl>
      <w:tblPr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8"/>
      </w:tblGrid>
      <w:tr w:rsidR="00565488" w:rsidRPr="007178B7" w14:paraId="01933B49" w14:textId="77777777" w:rsidTr="008E7BD2">
        <w:trPr>
          <w:trHeight w:val="882"/>
        </w:trPr>
        <w:tc>
          <w:tcPr>
            <w:tcW w:w="104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A91B90" w14:textId="77777777" w:rsidR="009F6DB1" w:rsidRPr="007178B7" w:rsidRDefault="009F6DB1" w:rsidP="0092725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 xml:space="preserve">Les grands objectifs visés par le </w:t>
            </w:r>
            <w:r w:rsidR="000A5D8A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dossier/</w:t>
            </w: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programme (pl</w:t>
            </w:r>
            <w:r w:rsidR="001D1D9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anification stratégique, annonces ministérielles ou autre</w:t>
            </w: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)</w:t>
            </w:r>
          </w:p>
        </w:tc>
      </w:tr>
      <w:tr w:rsidR="00565488" w:rsidRPr="007178B7" w14:paraId="68407C86" w14:textId="77777777" w:rsidTr="001C36FC">
        <w:trPr>
          <w:trHeight w:val="5313"/>
        </w:trPr>
        <w:tc>
          <w:tcPr>
            <w:tcW w:w="10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A30BC" w14:textId="3A1683F2" w:rsidR="00B03C3E" w:rsidRPr="001C36FC" w:rsidRDefault="00B03C3E" w:rsidP="001C36FC">
            <w:pPr>
              <w:pStyle w:val="Paragraphedeliste"/>
              <w:numPr>
                <w:ilvl w:val="0"/>
                <w:numId w:val="38"/>
              </w:numPr>
              <w:spacing w:before="120" w:after="60" w:line="240" w:lineRule="auto"/>
              <w:ind w:left="457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Mise en place graduelle du 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FAP</w:t>
            </w:r>
            <w:r w:rsidR="005832EB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 avec l’intégration sur un horizon de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>cinq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5832EB" w:rsidRPr="001C36FC">
              <w:rPr>
                <w:rStyle w:val="s1"/>
                <w:rFonts w:ascii="Arial" w:hAnsi="Arial" w:cs="Arial"/>
                <w:sz w:val="24"/>
                <w:szCs w:val="24"/>
              </w:rPr>
              <w:t>ans des services suivants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:</w:t>
            </w:r>
          </w:p>
          <w:p w14:paraId="2EA3F4DF" w14:textId="71DBB763" w:rsidR="00B03C3E" w:rsidRPr="001C36FC" w:rsidRDefault="005832EB" w:rsidP="001C36FC">
            <w:pPr>
              <w:pStyle w:val="Paragraphedeliste"/>
              <w:numPr>
                <w:ilvl w:val="0"/>
                <w:numId w:val="34"/>
              </w:numPr>
              <w:spacing w:after="60" w:line="240" w:lineRule="auto"/>
              <w:ind w:left="788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Chirurgie avec et sans hospitalisation incluant la cardiologie tertiaire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2E70D9CF" w14:textId="15174BB3" w:rsidR="005832EB" w:rsidRPr="001C36FC" w:rsidRDefault="005832EB" w:rsidP="001C36FC">
            <w:pPr>
              <w:pStyle w:val="Paragraphedeliste"/>
              <w:numPr>
                <w:ilvl w:val="0"/>
                <w:numId w:val="34"/>
              </w:numPr>
              <w:spacing w:after="60" w:line="240" w:lineRule="auto"/>
              <w:ind w:left="788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Hospitalisations en médecine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1A9E0FDA" w14:textId="39BFD9E2" w:rsidR="005832EB" w:rsidRPr="001C36FC" w:rsidRDefault="005832EB" w:rsidP="001C36FC">
            <w:pPr>
              <w:pStyle w:val="Paragraphedeliste"/>
              <w:numPr>
                <w:ilvl w:val="0"/>
                <w:numId w:val="34"/>
              </w:numPr>
              <w:spacing w:after="60" w:line="240" w:lineRule="auto"/>
              <w:ind w:left="788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Autres services hospitaliers ambulatoires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295CEE69" w14:textId="1016945D" w:rsidR="005832EB" w:rsidRPr="001C36FC" w:rsidRDefault="005832EB" w:rsidP="001C36FC">
            <w:pPr>
              <w:pStyle w:val="Paragraphedeliste"/>
              <w:numPr>
                <w:ilvl w:val="0"/>
                <w:numId w:val="34"/>
              </w:numPr>
              <w:spacing w:after="60" w:line="240" w:lineRule="auto"/>
              <w:ind w:left="788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Trajectoire de soins des personnes âgées (soins à domicile, hébergement)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2B7704EA" w14:textId="4D465E6B" w:rsidR="005832EB" w:rsidRPr="001C36FC" w:rsidRDefault="005832EB" w:rsidP="001C36FC">
            <w:pPr>
              <w:pStyle w:val="Paragraphedeliste"/>
              <w:numPr>
                <w:ilvl w:val="0"/>
                <w:numId w:val="34"/>
              </w:numPr>
              <w:spacing w:after="360" w:line="240" w:lineRule="auto"/>
              <w:ind w:left="788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Santé mentale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.</w:t>
            </w:r>
          </w:p>
          <w:p w14:paraId="3C155E67" w14:textId="3C3A92BA" w:rsidR="005832EB" w:rsidRPr="001C36FC" w:rsidRDefault="00B30844" w:rsidP="001C36FC">
            <w:pPr>
              <w:pStyle w:val="Paragraphedeliste"/>
              <w:numPr>
                <w:ilvl w:val="0"/>
                <w:numId w:val="38"/>
              </w:numPr>
              <w:spacing w:before="120" w:after="360" w:line="240" w:lineRule="auto"/>
              <w:ind w:left="459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Expériences pilotes de soins intégrés selon des trajectoires de soins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54F3FF03" w14:textId="7A7D80CE" w:rsidR="00B30844" w:rsidRPr="001C36FC" w:rsidRDefault="00B30844" w:rsidP="001C36FC">
            <w:pPr>
              <w:pStyle w:val="Paragraphedeliste"/>
              <w:numPr>
                <w:ilvl w:val="0"/>
                <w:numId w:val="38"/>
              </w:numPr>
              <w:spacing w:before="120" w:after="360" w:line="240" w:lineRule="auto"/>
              <w:ind w:left="459" w:hanging="357"/>
              <w:contextualSpacing w:val="0"/>
              <w:jc w:val="both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Étalonnage entre les établissements à partir de données de</w:t>
            </w:r>
            <w:r w:rsidR="00C00358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CPSS 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(Portail)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08560D14" w14:textId="4569DFB1" w:rsidR="00A648F9" w:rsidRPr="009258B4" w:rsidRDefault="00C77A0C" w:rsidP="001C36FC">
            <w:pPr>
              <w:pStyle w:val="Paragraphedeliste"/>
              <w:numPr>
                <w:ilvl w:val="0"/>
                <w:numId w:val="38"/>
              </w:numPr>
              <w:spacing w:before="120" w:after="120" w:line="240" w:lineRule="auto"/>
              <w:ind w:left="459" w:hanging="357"/>
              <w:contextualSpacing w:val="0"/>
              <w:jc w:val="both"/>
              <w:rPr>
                <w:rStyle w:val="s1"/>
                <w:rFonts w:ascii="Arial" w:hAnsi="Arial" w:cs="Arial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Projet expérimental permettant d’établir un coût de revient pour trois cliniques médicales spécialisées comme référence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,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 pour effectuer de l’étalonnage avec le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 réseau de la santé et des services sociaux (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RSSS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) 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et la tarificatio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n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5488" w:rsidRPr="007178B7" w14:paraId="580C4EAC" w14:textId="77777777" w:rsidTr="008E7BD2">
        <w:trPr>
          <w:trHeight w:val="815"/>
        </w:trPr>
        <w:tc>
          <w:tcPr>
            <w:tcW w:w="104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F6183B" w14:textId="77777777" w:rsidR="009F6DB1" w:rsidRPr="007178B7" w:rsidRDefault="009F6DB1" w:rsidP="0092725E">
            <w:pPr>
              <w:spacing w:after="0" w:line="240" w:lineRule="auto"/>
              <w:rPr>
                <w:rFonts w:ascii="Arial" w:hAnsi="Arial" w:cs="Arial"/>
              </w:rPr>
            </w:pP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Les résultats atteints - données statistiques </w:t>
            </w:r>
            <w:r w:rsidR="001D1D9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(inscrire les grands constats et annexer les tableaux)</w:t>
            </w:r>
            <w:r w:rsidRPr="007178B7">
              <w:rPr>
                <w:rFonts w:ascii="Arial" w:eastAsia="Times New Roman" w:hAnsi="Arial" w:cs="Arial"/>
                <w:lang w:eastAsia="fr-CA"/>
              </w:rPr>
              <w:t xml:space="preserve"> </w:t>
            </w:r>
          </w:p>
        </w:tc>
      </w:tr>
      <w:tr w:rsidR="00565488" w:rsidRPr="007178B7" w14:paraId="21FBE509" w14:textId="77777777" w:rsidTr="001C36FC">
        <w:trPr>
          <w:trHeight w:val="5093"/>
        </w:trPr>
        <w:tc>
          <w:tcPr>
            <w:tcW w:w="10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30203" w14:textId="5798EA23" w:rsidR="00960B10" w:rsidRPr="001C36FC" w:rsidRDefault="00917BCE" w:rsidP="001C36FC">
            <w:pPr>
              <w:pStyle w:val="Paragraphedeliste"/>
              <w:numPr>
                <w:ilvl w:val="0"/>
                <w:numId w:val="37"/>
              </w:numPr>
              <w:spacing w:before="120" w:after="120" w:line="240" w:lineRule="auto"/>
              <w:ind w:left="34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Données sur les 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CPSS </w:t>
            </w:r>
            <w:r w:rsidR="008D053A" w:rsidRPr="001C36FC">
              <w:rPr>
                <w:rStyle w:val="s1"/>
                <w:rFonts w:ascii="Arial" w:hAnsi="Arial" w:cs="Arial"/>
                <w:sz w:val="24"/>
                <w:szCs w:val="24"/>
              </w:rPr>
              <w:t>en date du 2</w:t>
            </w:r>
            <w:r w:rsidR="00AF0148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 juillet </w:t>
            </w:r>
            <w:r w:rsidR="008D053A" w:rsidRPr="001C36FC">
              <w:rPr>
                <w:rStyle w:val="s1"/>
                <w:rFonts w:ascii="Arial" w:hAnsi="Arial" w:cs="Arial"/>
                <w:sz w:val="24"/>
                <w:szCs w:val="24"/>
              </w:rPr>
              <w:t>2020</w:t>
            </w:r>
            <w:r w:rsidR="007178B7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:</w:t>
            </w:r>
          </w:p>
          <w:p w14:paraId="06212020" w14:textId="53026FE7" w:rsidR="00917BCE" w:rsidRPr="001C36FC" w:rsidRDefault="00917BCE" w:rsidP="001C36FC">
            <w:pPr>
              <w:pStyle w:val="Paragraphedeliste"/>
              <w:numPr>
                <w:ilvl w:val="0"/>
                <w:numId w:val="36"/>
              </w:numPr>
              <w:spacing w:after="120" w:line="240" w:lineRule="auto"/>
              <w:ind w:left="70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2016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noBreakHyphen/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2017 : 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t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ous les établissements excluant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584948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le 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CLSC Naskapi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(30)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4C7BD7BF" w14:textId="61D4637C" w:rsidR="00917BCE" w:rsidRPr="001C36FC" w:rsidRDefault="00917BCE" w:rsidP="001C36FC">
            <w:pPr>
              <w:pStyle w:val="Paragraphedeliste"/>
              <w:numPr>
                <w:ilvl w:val="0"/>
                <w:numId w:val="36"/>
              </w:numPr>
              <w:spacing w:after="120" w:line="240" w:lineRule="auto"/>
              <w:ind w:left="70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2017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noBreakHyphen/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2018 : 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1</w:t>
            </w:r>
            <w:r w:rsidR="00AF0148" w:rsidRPr="001C36FC">
              <w:rPr>
                <w:rStyle w:val="s1"/>
                <w:rFonts w:ascii="Arial" w:hAnsi="Arial" w:cs="Arial"/>
                <w:sz w:val="24"/>
                <w:szCs w:val="24"/>
              </w:rPr>
              <w:t>5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établissements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502D9A84" w14:textId="1D27C036" w:rsidR="00917BCE" w:rsidRPr="001C36FC" w:rsidRDefault="00917BCE" w:rsidP="001C36FC">
            <w:pPr>
              <w:pStyle w:val="Paragraphedeliste"/>
              <w:numPr>
                <w:ilvl w:val="0"/>
                <w:numId w:val="36"/>
              </w:numPr>
              <w:spacing w:after="360" w:line="240" w:lineRule="auto"/>
              <w:ind w:left="706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2018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noBreakHyphen/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2019 : </w:t>
            </w:r>
            <w:r w:rsidR="008D053A" w:rsidRPr="001C36FC">
              <w:rPr>
                <w:rStyle w:val="s1"/>
                <w:rFonts w:ascii="Arial" w:hAnsi="Arial" w:cs="Arial"/>
                <w:sz w:val="24"/>
                <w:szCs w:val="24"/>
              </w:rPr>
              <w:t>1</w:t>
            </w:r>
            <w:r w:rsidR="00AF0148" w:rsidRPr="001C36FC">
              <w:rPr>
                <w:rStyle w:val="s1"/>
                <w:rFonts w:ascii="Arial" w:hAnsi="Arial" w:cs="Arial"/>
                <w:sz w:val="24"/>
                <w:szCs w:val="24"/>
              </w:rPr>
              <w:t>4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 </w:t>
            </w:r>
            <w:r w:rsidR="009F4600" w:rsidRPr="001C36FC">
              <w:rPr>
                <w:rStyle w:val="s1"/>
                <w:rFonts w:ascii="Arial" w:hAnsi="Arial" w:cs="Arial"/>
                <w:sz w:val="24"/>
                <w:szCs w:val="24"/>
              </w:rPr>
              <w:t>établissements</w:t>
            </w:r>
            <w:r w:rsidR="00A648F9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00EE85F7" w14:textId="54695E0E" w:rsidR="00E954E9" w:rsidRPr="001C36FC" w:rsidRDefault="00E954E9" w:rsidP="001C36FC">
            <w:pPr>
              <w:pStyle w:val="Paragraphedeliste"/>
              <w:keepNext/>
              <w:keepLines/>
              <w:numPr>
                <w:ilvl w:val="0"/>
                <w:numId w:val="37"/>
              </w:numPr>
              <w:spacing w:after="360" w:line="240" w:lineRule="auto"/>
              <w:ind w:left="346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Coûts de revient des trois cliniques privées</w:t>
            </w:r>
            <w:r w:rsidR="00584948" w:rsidRPr="001C36FC">
              <w:rPr>
                <w:rStyle w:val="s1"/>
                <w:rFonts w:ascii="Arial" w:hAnsi="Arial" w:cs="Arial"/>
                <w:sz w:val="24"/>
                <w:szCs w:val="24"/>
              </w:rPr>
              <w:t>.</w:t>
            </w:r>
          </w:p>
          <w:p w14:paraId="50B0F855" w14:textId="7763EB03" w:rsidR="00917BCE" w:rsidRPr="001C36FC" w:rsidRDefault="005151D4" w:rsidP="001C36FC">
            <w:pPr>
              <w:pStyle w:val="Paragraphedeliste"/>
              <w:keepNext/>
              <w:keepLines/>
              <w:numPr>
                <w:ilvl w:val="0"/>
                <w:numId w:val="37"/>
              </w:numPr>
              <w:spacing w:after="120" w:line="240" w:lineRule="auto"/>
              <w:ind w:left="34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FAP</w:t>
            </w:r>
            <w:r w:rsidR="00917BCE" w:rsidRPr="001C36FC">
              <w:rPr>
                <w:rStyle w:val="s1"/>
                <w:rFonts w:ascii="Arial" w:hAnsi="Arial" w:cs="Arial"/>
                <w:sz w:val="24"/>
                <w:szCs w:val="24"/>
              </w:rPr>
              <w:t xml:space="preserve"> pour les secteurs suivants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 :</w:t>
            </w:r>
          </w:p>
          <w:p w14:paraId="46648288" w14:textId="4F3BDC08" w:rsidR="009F4600" w:rsidRPr="001C36FC" w:rsidRDefault="009F4600" w:rsidP="001C36FC">
            <w:pPr>
              <w:pStyle w:val="Paragraphedeliste"/>
              <w:keepNext/>
              <w:keepLines/>
              <w:numPr>
                <w:ilvl w:val="0"/>
                <w:numId w:val="33"/>
              </w:numPr>
              <w:spacing w:after="120" w:line="240" w:lineRule="auto"/>
              <w:ind w:left="106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Chirurgie (volumes supplémentaires)</w:t>
            </w:r>
            <w:r w:rsidR="005151D4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1DB025B9" w14:textId="4675082E" w:rsidR="009F4600" w:rsidRPr="001C36FC" w:rsidRDefault="009F4600" w:rsidP="001C36FC">
            <w:pPr>
              <w:pStyle w:val="Paragraphedeliste"/>
              <w:keepNext/>
              <w:keepLines/>
              <w:numPr>
                <w:ilvl w:val="0"/>
                <w:numId w:val="33"/>
              </w:numPr>
              <w:spacing w:after="120" w:line="240" w:lineRule="auto"/>
              <w:ind w:left="106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Imagerie médicale</w:t>
            </w:r>
            <w:r w:rsidR="005151D4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023A0844" w14:textId="516E588E" w:rsidR="008E7BD2" w:rsidRPr="001C36FC" w:rsidRDefault="008E7BD2" w:rsidP="001C36FC">
            <w:pPr>
              <w:pStyle w:val="Paragraphedeliste"/>
              <w:keepNext/>
              <w:keepLines/>
              <w:numPr>
                <w:ilvl w:val="0"/>
                <w:numId w:val="33"/>
              </w:numPr>
              <w:spacing w:after="120" w:line="240" w:lineRule="auto"/>
              <w:ind w:left="1062" w:hanging="357"/>
              <w:contextualSpacing w:val="0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Radiothérapie</w:t>
            </w:r>
            <w:r w:rsidR="005151D4" w:rsidRPr="001C36FC">
              <w:rPr>
                <w:rStyle w:val="s1"/>
                <w:rFonts w:ascii="Arial" w:hAnsi="Arial" w:cs="Arial"/>
                <w:sz w:val="24"/>
                <w:szCs w:val="24"/>
              </w:rPr>
              <w:t>;</w:t>
            </w:r>
          </w:p>
          <w:p w14:paraId="2CC259A8" w14:textId="6AB589A4" w:rsidR="00960B10" w:rsidRPr="001C36FC" w:rsidRDefault="008E7BD2" w:rsidP="00544AA8">
            <w:pPr>
              <w:pStyle w:val="Paragraphedeliste"/>
              <w:keepNext/>
              <w:keepLines/>
              <w:numPr>
                <w:ilvl w:val="0"/>
                <w:numId w:val="33"/>
              </w:numPr>
              <w:spacing w:after="0" w:line="240" w:lineRule="auto"/>
              <w:ind w:left="1062"/>
              <w:rPr>
                <w:rStyle w:val="s1"/>
                <w:rFonts w:ascii="Arial" w:hAnsi="Arial" w:cs="Arial"/>
                <w:sz w:val="24"/>
                <w:szCs w:val="24"/>
              </w:rPr>
            </w:pP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Coloscopies (</w:t>
            </w:r>
            <w:r w:rsidR="005151D4" w:rsidRPr="001C36FC">
              <w:rPr>
                <w:rStyle w:val="s1"/>
                <w:rFonts w:ascii="Arial" w:hAnsi="Arial" w:cs="Arial"/>
                <w:sz w:val="24"/>
                <w:szCs w:val="24"/>
              </w:rPr>
              <w:t>v</w:t>
            </w:r>
            <w:r w:rsidRPr="001C36FC">
              <w:rPr>
                <w:rStyle w:val="s1"/>
                <w:rFonts w:ascii="Arial" w:hAnsi="Arial" w:cs="Arial"/>
                <w:sz w:val="24"/>
                <w:szCs w:val="24"/>
              </w:rPr>
              <w:t>olumes supplémentaires)</w:t>
            </w:r>
            <w:r w:rsidR="005151D4" w:rsidRPr="001C36FC">
              <w:rPr>
                <w:rStyle w:val="s1"/>
                <w:rFonts w:ascii="Arial" w:hAnsi="Arial" w:cs="Arial"/>
                <w:sz w:val="24"/>
                <w:szCs w:val="24"/>
              </w:rPr>
              <w:t>.</w:t>
            </w:r>
          </w:p>
          <w:p w14:paraId="36F64D2F" w14:textId="77777777" w:rsidR="00960B10" w:rsidRPr="007178B7" w:rsidRDefault="00960B10" w:rsidP="0092725E">
            <w:pPr>
              <w:spacing w:after="0" w:line="240" w:lineRule="auto"/>
              <w:rPr>
                <w:rFonts w:ascii="Arial" w:eastAsia="Times New Roman" w:hAnsi="Arial" w:cs="Arial"/>
                <w:lang w:eastAsia="fr-CA"/>
              </w:rPr>
            </w:pPr>
          </w:p>
        </w:tc>
      </w:tr>
      <w:tr w:rsidR="00565488" w:rsidRPr="007178B7" w14:paraId="0722D738" w14:textId="77777777" w:rsidTr="001C36FC">
        <w:trPr>
          <w:trHeight w:val="788"/>
        </w:trPr>
        <w:tc>
          <w:tcPr>
            <w:tcW w:w="104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8E3F65" w14:textId="21DD2E45" w:rsidR="009F6DB1" w:rsidRPr="007178B7" w:rsidRDefault="009F6DB1" w:rsidP="001C36FC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Les résultats non</w:t>
            </w:r>
            <w:r w:rsidR="007178B7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 xml:space="preserve"> </w:t>
            </w:r>
            <w:r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atteints</w:t>
            </w:r>
            <w:r w:rsidR="001D1D9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 xml:space="preserve"> (brève </w:t>
            </w:r>
            <w:r w:rsidR="00C7038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 xml:space="preserve">explication ou les ramener dans la section </w:t>
            </w:r>
            <w:r w:rsidR="003B043F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 xml:space="preserve">portant sur les </w:t>
            </w:r>
            <w:r w:rsidR="00C7038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enjeu</w:t>
            </w:r>
            <w:r w:rsidR="003B043F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x</w:t>
            </w:r>
            <w:r w:rsidR="001D1D9B" w:rsidRPr="007178B7">
              <w:rPr>
                <w:rFonts w:ascii="Arial" w:hAnsi="Arial" w:cs="Arial"/>
                <w:b/>
                <w:snapToGrid w:val="0"/>
                <w:color w:val="404040" w:themeColor="text1" w:themeTint="BF"/>
                <w:lang w:val="fr-FR"/>
              </w:rPr>
              <w:t>)</w:t>
            </w:r>
          </w:p>
        </w:tc>
      </w:tr>
      <w:tr w:rsidR="00565488" w:rsidRPr="007178B7" w14:paraId="10FF22C6" w14:textId="77777777" w:rsidTr="001C36FC">
        <w:trPr>
          <w:trHeight w:val="1388"/>
        </w:trPr>
        <w:tc>
          <w:tcPr>
            <w:tcW w:w="10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F12BF" w14:textId="0E83D5F1" w:rsidR="00960B10" w:rsidRPr="001C36FC" w:rsidRDefault="007178B7" w:rsidP="001C36F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fr-CA"/>
              </w:rPr>
            </w:pPr>
            <w:r w:rsidRPr="001C36FC">
              <w:rPr>
                <w:rFonts w:ascii="Arial" w:eastAsia="Times New Roman" w:hAnsi="Arial" w:cs="Arial"/>
                <w:sz w:val="24"/>
                <w:szCs w:val="24"/>
                <w:lang w:eastAsia="fr-CA"/>
              </w:rPr>
              <w:t>Sans objet.</w:t>
            </w:r>
          </w:p>
        </w:tc>
      </w:tr>
    </w:tbl>
    <w:p w14:paraId="26E5C34C" w14:textId="77777777" w:rsidR="00E35DB0" w:rsidRPr="007178B7" w:rsidRDefault="00E35DB0" w:rsidP="0092725E">
      <w:pPr>
        <w:spacing w:after="0" w:line="240" w:lineRule="auto"/>
        <w:rPr>
          <w:rFonts w:ascii="Arial" w:hAnsi="Arial" w:cs="Arial"/>
        </w:rPr>
      </w:pPr>
    </w:p>
    <w:sectPr w:rsidR="00E35DB0" w:rsidRPr="007178B7" w:rsidSect="00927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266" w:right="990" w:bottom="810" w:left="1134" w:header="708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EF627" w14:textId="77777777" w:rsidR="00DF43B6" w:rsidRDefault="00DF43B6" w:rsidP="00C7038B">
      <w:pPr>
        <w:spacing w:after="0" w:line="240" w:lineRule="auto"/>
      </w:pPr>
      <w:r>
        <w:separator/>
      </w:r>
    </w:p>
  </w:endnote>
  <w:endnote w:type="continuationSeparator" w:id="0">
    <w:p w14:paraId="77F73F52" w14:textId="77777777" w:rsidR="00DF43B6" w:rsidRDefault="00DF43B6" w:rsidP="00C7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587FB" w14:textId="77777777" w:rsidR="00CC1D46" w:rsidRDefault="00CC1D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5894705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52AC6F" w14:textId="59440B16" w:rsidR="005538FE" w:rsidRPr="005538FE" w:rsidRDefault="005538FE">
            <w:pPr>
              <w:pStyle w:val="Pieddepage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38FE">
              <w:rPr>
                <w:rFonts w:ascii="Arial" w:hAnsi="Arial" w:cs="Arial"/>
                <w:sz w:val="20"/>
                <w:szCs w:val="20"/>
                <w:lang w:val="fr-FR"/>
              </w:rPr>
              <w:t xml:space="preserve">Page </w: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538FE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38FE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538FE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de</w:t>
            </w:r>
            <w:r w:rsidRPr="005538FE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538FE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38FE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Pr="005538F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243B3" w14:textId="77777777" w:rsidR="00CC1D46" w:rsidRDefault="00CC1D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7CFC3" w14:textId="77777777" w:rsidR="00DF43B6" w:rsidRDefault="00DF43B6" w:rsidP="00C7038B">
      <w:pPr>
        <w:spacing w:after="0" w:line="240" w:lineRule="auto"/>
      </w:pPr>
      <w:r>
        <w:separator/>
      </w:r>
    </w:p>
  </w:footnote>
  <w:footnote w:type="continuationSeparator" w:id="0">
    <w:p w14:paraId="19F30144" w14:textId="77777777" w:rsidR="00DF43B6" w:rsidRDefault="00DF43B6" w:rsidP="00C70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DF89E" w14:textId="77777777" w:rsidR="00CC1D46" w:rsidRDefault="00CC1D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9192B" w14:textId="230DD94D" w:rsidR="00E97793" w:rsidRPr="006F53A9" w:rsidRDefault="00E97793" w:rsidP="00AD3160">
    <w:pPr>
      <w:pStyle w:val="En-tte"/>
      <w:tabs>
        <w:tab w:val="clear" w:pos="8640"/>
      </w:tabs>
      <w:jc w:val="right"/>
      <w:rPr>
        <w:b/>
        <w:bCs/>
        <w:color w:val="0070C0"/>
        <w:sz w:val="28"/>
        <w:szCs w:val="28"/>
      </w:rPr>
    </w:pPr>
    <w:r w:rsidRPr="006F53A9">
      <w:rPr>
        <w:b/>
        <w:bCs/>
        <w:color w:val="0070C0"/>
        <w:sz w:val="28"/>
        <w:szCs w:val="28"/>
      </w:rPr>
      <w:t>DG</w:t>
    </w:r>
    <w:r w:rsidR="00AD3160">
      <w:rPr>
        <w:b/>
        <w:bCs/>
        <w:color w:val="0070C0"/>
        <w:sz w:val="28"/>
        <w:szCs w:val="28"/>
      </w:rPr>
      <w:t>FARB</w:t>
    </w:r>
    <w:r w:rsidRPr="006F53A9">
      <w:rPr>
        <w:b/>
        <w:bCs/>
        <w:color w:val="0070C0"/>
        <w:sz w:val="28"/>
        <w:szCs w:val="28"/>
      </w:rPr>
      <w:t xml:space="preserve"> </w:t>
    </w:r>
    <w:r w:rsidR="00AD3160">
      <w:rPr>
        <w:b/>
        <w:bCs/>
        <w:color w:val="0070C0"/>
        <w:sz w:val="28"/>
        <w:szCs w:val="28"/>
      </w:rPr>
      <w:t>–</w:t>
    </w:r>
    <w:r w:rsidRPr="006F53A9">
      <w:rPr>
        <w:b/>
        <w:bCs/>
        <w:color w:val="0070C0"/>
        <w:sz w:val="28"/>
        <w:szCs w:val="28"/>
      </w:rPr>
      <w:t xml:space="preserve"> NO</w:t>
    </w:r>
    <w:r w:rsidR="00AD3160">
      <w:rPr>
        <w:b/>
        <w:bCs/>
        <w:color w:val="0070C0"/>
        <w:sz w:val="28"/>
        <w:szCs w:val="28"/>
      </w:rPr>
      <w:t xml:space="preserve"> </w:t>
    </w:r>
    <w:r w:rsidR="00CC1D46">
      <w:rPr>
        <w:b/>
        <w:bCs/>
        <w:color w:val="0070C0"/>
        <w:sz w:val="28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B633A" w14:textId="12C36B1C" w:rsidR="009C36DF" w:rsidRDefault="00676870" w:rsidP="00492A91">
    <w:pPr>
      <w:pStyle w:val="En-tte"/>
      <w:tabs>
        <w:tab w:val="clear" w:pos="4320"/>
        <w:tab w:val="clear" w:pos="8640"/>
        <w:tab w:val="left" w:pos="8222"/>
      </w:tabs>
    </w:pPr>
    <w:r>
      <w:rPr>
        <w:b/>
        <w:bCs/>
        <w:noProof/>
        <w:color w:val="0070C0"/>
        <w:sz w:val="28"/>
        <w:szCs w:val="28"/>
        <w:lang w:eastAsia="fr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929CEC" wp14:editId="6E18731F">
              <wp:simplePos x="0" y="0"/>
              <wp:positionH relativeFrom="margin">
                <wp:align>left</wp:align>
              </wp:positionH>
              <wp:positionV relativeFrom="paragraph">
                <wp:posOffset>-182880</wp:posOffset>
              </wp:positionV>
              <wp:extent cx="3219450" cy="428625"/>
              <wp:effectExtent l="0" t="0" r="19050" b="28575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9450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prstDash val="dash"/>
                      </a:ln>
                    </wps:spPr>
                    <wps:txbx>
                      <w:txbxContent>
                        <w:p w14:paraId="2B57043C" w14:textId="087415F3" w:rsidR="00676870" w:rsidRPr="009C36DF" w:rsidRDefault="00676870" w:rsidP="00676870">
                          <w:pPr>
                            <w:rPr>
                              <w:b/>
                              <w:bCs/>
                              <w:color w:val="FF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24"/>
                              <w:szCs w:val="24"/>
                            </w:rPr>
                            <w:t>Obligatoire pour chacun des sujets listés à l’ODJ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929CE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0;margin-top:-14.4pt;width:253.5pt;height:33.7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" fillcolor="white [3201]" strokeweight=".5pt">
              <v:stroke dashstyle="dash"/>
              <v:textbox>
                <w:txbxContent>
                  <w:p w14:paraId="2B57043C" w14:textId="087415F3" w:rsidR="00676870" w:rsidRPr="009C36DF" w:rsidRDefault="00676870" w:rsidP="00676870">
                    <w:pPr>
                      <w:rPr>
                        <w:b/>
                        <w:bCs/>
                        <w:color w:val="FF000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color w:val="FF0000"/>
                        <w:sz w:val="24"/>
                        <w:szCs w:val="24"/>
                      </w:rPr>
                      <w:t>Obligatoire pour chacun des sujets listés à l’ODJ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  <w:r w:rsidRPr="006F53A9">
      <w:rPr>
        <w:b/>
        <w:bCs/>
        <w:color w:val="0070C0"/>
        <w:sz w:val="28"/>
        <w:szCs w:val="28"/>
      </w:rPr>
      <w:t>DG</w:t>
    </w:r>
    <w:r w:rsidR="00492A91">
      <w:rPr>
        <w:b/>
        <w:bCs/>
        <w:color w:val="0070C0"/>
        <w:sz w:val="28"/>
        <w:szCs w:val="28"/>
      </w:rPr>
      <w:t>FARB</w:t>
    </w:r>
    <w:r w:rsidRPr="006F53A9">
      <w:rPr>
        <w:b/>
        <w:bCs/>
        <w:color w:val="0070C0"/>
        <w:sz w:val="28"/>
        <w:szCs w:val="28"/>
      </w:rPr>
      <w:t xml:space="preserve"> </w:t>
    </w:r>
    <w:r w:rsidR="00492A91">
      <w:rPr>
        <w:b/>
        <w:bCs/>
        <w:color w:val="0070C0"/>
        <w:sz w:val="28"/>
        <w:szCs w:val="28"/>
      </w:rPr>
      <w:t>–</w:t>
    </w:r>
    <w:r w:rsidRPr="006F53A9">
      <w:rPr>
        <w:b/>
        <w:bCs/>
        <w:color w:val="0070C0"/>
        <w:sz w:val="28"/>
        <w:szCs w:val="28"/>
      </w:rPr>
      <w:t xml:space="preserve"> NO</w:t>
    </w:r>
    <w:r w:rsidR="00492A91">
      <w:rPr>
        <w:b/>
        <w:bCs/>
        <w:color w:val="0070C0"/>
        <w:sz w:val="28"/>
        <w:szCs w:val="28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5.75pt;height:178.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959AD95E"/>
    <w:lvl w:ilvl="0">
      <w:numFmt w:val="bullet"/>
      <w:lvlText w:val="*"/>
      <w:lvlJc w:val="left"/>
    </w:lvl>
  </w:abstractNum>
  <w:abstractNum w:abstractNumId="1" w15:restartNumberingAfterBreak="0">
    <w:nsid w:val="020078D8"/>
    <w:multiLevelType w:val="hybridMultilevel"/>
    <w:tmpl w:val="B62AD9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5030B"/>
    <w:multiLevelType w:val="hybridMultilevel"/>
    <w:tmpl w:val="DC3692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B7EAB"/>
    <w:multiLevelType w:val="hybridMultilevel"/>
    <w:tmpl w:val="5ACCC150"/>
    <w:lvl w:ilvl="0" w:tplc="0C0C000F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12B258B9"/>
    <w:multiLevelType w:val="hybridMultilevel"/>
    <w:tmpl w:val="DAEC1392"/>
    <w:lvl w:ilvl="0" w:tplc="0C0C0001">
      <w:start w:val="1"/>
      <w:numFmt w:val="bullet"/>
      <w:lvlText w:val=""/>
      <w:lvlJc w:val="left"/>
      <w:pPr>
        <w:ind w:left="45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17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9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</w:abstractNum>
  <w:abstractNum w:abstractNumId="5" w15:restartNumberingAfterBreak="0">
    <w:nsid w:val="15447F0B"/>
    <w:multiLevelType w:val="hybridMultilevel"/>
    <w:tmpl w:val="5BDA24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05D46"/>
    <w:multiLevelType w:val="hybridMultilevel"/>
    <w:tmpl w:val="2872EAE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C5F5E"/>
    <w:multiLevelType w:val="hybridMultilevel"/>
    <w:tmpl w:val="CB1A273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6901F9"/>
    <w:multiLevelType w:val="hybridMultilevel"/>
    <w:tmpl w:val="DAD25736"/>
    <w:lvl w:ilvl="0" w:tplc="0C0C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9" w15:restartNumberingAfterBreak="0">
    <w:nsid w:val="25D46D47"/>
    <w:multiLevelType w:val="multilevel"/>
    <w:tmpl w:val="3AB0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221C81"/>
    <w:multiLevelType w:val="hybridMultilevel"/>
    <w:tmpl w:val="6E3C974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F2F4C"/>
    <w:multiLevelType w:val="hybridMultilevel"/>
    <w:tmpl w:val="134EDFE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26E71"/>
    <w:multiLevelType w:val="multilevel"/>
    <w:tmpl w:val="8A1CC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AA6D53"/>
    <w:multiLevelType w:val="hybridMultilevel"/>
    <w:tmpl w:val="91D627B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0157F"/>
    <w:multiLevelType w:val="hybridMultilevel"/>
    <w:tmpl w:val="D400992E"/>
    <w:lvl w:ilvl="0" w:tplc="DF72AF9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146E6"/>
    <w:multiLevelType w:val="hybridMultilevel"/>
    <w:tmpl w:val="65C2346C"/>
    <w:lvl w:ilvl="0" w:tplc="0C0C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 w15:restartNumberingAfterBreak="0">
    <w:nsid w:val="393A1434"/>
    <w:multiLevelType w:val="hybridMultilevel"/>
    <w:tmpl w:val="B34C1F72"/>
    <w:lvl w:ilvl="0" w:tplc="BACA5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F7233"/>
    <w:multiLevelType w:val="multilevel"/>
    <w:tmpl w:val="9B8A6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330238"/>
    <w:multiLevelType w:val="hybridMultilevel"/>
    <w:tmpl w:val="4CFE208E"/>
    <w:lvl w:ilvl="0" w:tplc="576067E6">
      <w:numFmt w:val="bullet"/>
      <w:lvlText w:val="-"/>
      <w:lvlJc w:val="left"/>
      <w:pPr>
        <w:ind w:left="451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17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9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</w:abstractNum>
  <w:abstractNum w:abstractNumId="19" w15:restartNumberingAfterBreak="0">
    <w:nsid w:val="41191F91"/>
    <w:multiLevelType w:val="hybridMultilevel"/>
    <w:tmpl w:val="44AE429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C4385F"/>
    <w:multiLevelType w:val="hybridMultilevel"/>
    <w:tmpl w:val="BE600710"/>
    <w:lvl w:ilvl="0" w:tplc="0C0C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1" w15:restartNumberingAfterBreak="0">
    <w:nsid w:val="4364272E"/>
    <w:multiLevelType w:val="hybridMultilevel"/>
    <w:tmpl w:val="867471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D41D8B"/>
    <w:multiLevelType w:val="hybridMultilevel"/>
    <w:tmpl w:val="40F8E3F4"/>
    <w:lvl w:ilvl="0" w:tplc="0C0C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3" w15:restartNumberingAfterBreak="0">
    <w:nsid w:val="45F62E58"/>
    <w:multiLevelType w:val="hybridMultilevel"/>
    <w:tmpl w:val="54B057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B3676E"/>
    <w:multiLevelType w:val="hybridMultilevel"/>
    <w:tmpl w:val="290C0C6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035D2"/>
    <w:multiLevelType w:val="hybridMultilevel"/>
    <w:tmpl w:val="0E24C282"/>
    <w:lvl w:ilvl="0" w:tplc="0C0C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6" w15:restartNumberingAfterBreak="0">
    <w:nsid w:val="551261D9"/>
    <w:multiLevelType w:val="hybridMultilevel"/>
    <w:tmpl w:val="FFCCCD2A"/>
    <w:lvl w:ilvl="0" w:tplc="7AF2036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42143A"/>
    <w:multiLevelType w:val="hybridMultilevel"/>
    <w:tmpl w:val="E556ADF2"/>
    <w:lvl w:ilvl="0" w:tplc="CA34E2F8">
      <w:start w:val="20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7065B"/>
    <w:multiLevelType w:val="hybridMultilevel"/>
    <w:tmpl w:val="84D2D22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91966"/>
    <w:multiLevelType w:val="hybridMultilevel"/>
    <w:tmpl w:val="34AC18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143872"/>
    <w:multiLevelType w:val="hybridMultilevel"/>
    <w:tmpl w:val="61D6BE34"/>
    <w:lvl w:ilvl="0" w:tplc="0C0C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1" w15:restartNumberingAfterBreak="0">
    <w:nsid w:val="6AE34B1A"/>
    <w:multiLevelType w:val="hybridMultilevel"/>
    <w:tmpl w:val="6F42DA32"/>
    <w:lvl w:ilvl="0" w:tplc="1974E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2168"/>
    <w:multiLevelType w:val="hybridMultilevel"/>
    <w:tmpl w:val="A5B81F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F05A4F"/>
    <w:multiLevelType w:val="multilevel"/>
    <w:tmpl w:val="7F987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67FF7"/>
    <w:multiLevelType w:val="hybridMultilevel"/>
    <w:tmpl w:val="CF2C612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A93"/>
    <w:multiLevelType w:val="hybridMultilevel"/>
    <w:tmpl w:val="7FB84B2C"/>
    <w:lvl w:ilvl="0" w:tplc="0C0C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  <w:color w:val="auto"/>
        <w:sz w:val="24"/>
      </w:rPr>
    </w:lvl>
    <w:lvl w:ilvl="1" w:tplc="0C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741516F0"/>
    <w:multiLevelType w:val="hybridMultilevel"/>
    <w:tmpl w:val="5104623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F7673B"/>
    <w:multiLevelType w:val="hybridMultilevel"/>
    <w:tmpl w:val="1A72E6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2401F"/>
    <w:multiLevelType w:val="hybridMultilevel"/>
    <w:tmpl w:val="411C4C66"/>
    <w:lvl w:ilvl="0" w:tplc="BACA5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F4CD4"/>
    <w:multiLevelType w:val="hybridMultilevel"/>
    <w:tmpl w:val="67489D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A41521"/>
    <w:multiLevelType w:val="hybridMultilevel"/>
    <w:tmpl w:val="913293F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9"/>
  </w:num>
  <w:num w:numId="4">
    <w:abstractNumId w:val="12"/>
  </w:num>
  <w:num w:numId="5">
    <w:abstractNumId w:val="14"/>
  </w:num>
  <w:num w:numId="6">
    <w:abstractNumId w:val="39"/>
  </w:num>
  <w:num w:numId="7">
    <w:abstractNumId w:val="37"/>
  </w:num>
  <w:num w:numId="8">
    <w:abstractNumId w:val="18"/>
  </w:num>
  <w:num w:numId="9">
    <w:abstractNumId w:val="4"/>
  </w:num>
  <w:num w:numId="10">
    <w:abstractNumId w:val="40"/>
  </w:num>
  <w:num w:numId="11">
    <w:abstractNumId w:val="2"/>
  </w:num>
  <w:num w:numId="12">
    <w:abstractNumId w:val="22"/>
  </w:num>
  <w:num w:numId="13">
    <w:abstractNumId w:val="20"/>
  </w:num>
  <w:num w:numId="14">
    <w:abstractNumId w:val="25"/>
  </w:num>
  <w:num w:numId="15">
    <w:abstractNumId w:val="7"/>
  </w:num>
  <w:num w:numId="16">
    <w:abstractNumId w:val="23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1"/>
  </w:num>
  <w:num w:numId="19">
    <w:abstractNumId w:val="19"/>
  </w:num>
  <w:num w:numId="20">
    <w:abstractNumId w:val="29"/>
  </w:num>
  <w:num w:numId="21">
    <w:abstractNumId w:val="36"/>
  </w:num>
  <w:num w:numId="22">
    <w:abstractNumId w:val="32"/>
  </w:num>
  <w:num w:numId="23">
    <w:abstractNumId w:val="21"/>
  </w:num>
  <w:num w:numId="24">
    <w:abstractNumId w:val="31"/>
  </w:num>
  <w:num w:numId="25">
    <w:abstractNumId w:val="13"/>
  </w:num>
  <w:num w:numId="26">
    <w:abstractNumId w:val="16"/>
  </w:num>
  <w:num w:numId="27">
    <w:abstractNumId w:val="38"/>
  </w:num>
  <w:num w:numId="28">
    <w:abstractNumId w:val="11"/>
  </w:num>
  <w:num w:numId="29">
    <w:abstractNumId w:val="28"/>
  </w:num>
  <w:num w:numId="30">
    <w:abstractNumId w:val="15"/>
  </w:num>
  <w:num w:numId="31">
    <w:abstractNumId w:val="30"/>
  </w:num>
  <w:num w:numId="32">
    <w:abstractNumId w:val="5"/>
  </w:num>
  <w:num w:numId="33">
    <w:abstractNumId w:val="6"/>
  </w:num>
  <w:num w:numId="34">
    <w:abstractNumId w:val="3"/>
  </w:num>
  <w:num w:numId="35">
    <w:abstractNumId w:val="34"/>
  </w:num>
  <w:num w:numId="36">
    <w:abstractNumId w:val="8"/>
  </w:num>
  <w:num w:numId="37">
    <w:abstractNumId w:val="24"/>
  </w:num>
  <w:num w:numId="38">
    <w:abstractNumId w:val="10"/>
  </w:num>
  <w:num w:numId="39">
    <w:abstractNumId w:val="27"/>
  </w:num>
  <w:num w:numId="40">
    <w:abstractNumId w:val="26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DB0"/>
    <w:rsid w:val="0006525F"/>
    <w:rsid w:val="00073C10"/>
    <w:rsid w:val="000873BA"/>
    <w:rsid w:val="000A5D8A"/>
    <w:rsid w:val="000E7F43"/>
    <w:rsid w:val="0010103D"/>
    <w:rsid w:val="00121934"/>
    <w:rsid w:val="001357A3"/>
    <w:rsid w:val="0014000A"/>
    <w:rsid w:val="00153EA3"/>
    <w:rsid w:val="00180B2A"/>
    <w:rsid w:val="001B23AD"/>
    <w:rsid w:val="001C36FC"/>
    <w:rsid w:val="001D1D9B"/>
    <w:rsid w:val="001E0E11"/>
    <w:rsid w:val="001F70E4"/>
    <w:rsid w:val="00266203"/>
    <w:rsid w:val="002B3E0C"/>
    <w:rsid w:val="00333322"/>
    <w:rsid w:val="0037376F"/>
    <w:rsid w:val="00390C99"/>
    <w:rsid w:val="003B043F"/>
    <w:rsid w:val="0040587B"/>
    <w:rsid w:val="00421FA6"/>
    <w:rsid w:val="00427F34"/>
    <w:rsid w:val="00481B3F"/>
    <w:rsid w:val="00492A91"/>
    <w:rsid w:val="004D4A53"/>
    <w:rsid w:val="004E03B7"/>
    <w:rsid w:val="004E4BA4"/>
    <w:rsid w:val="005151D4"/>
    <w:rsid w:val="00544AA8"/>
    <w:rsid w:val="005538FE"/>
    <w:rsid w:val="00563CF3"/>
    <w:rsid w:val="00565488"/>
    <w:rsid w:val="005832EB"/>
    <w:rsid w:val="00584948"/>
    <w:rsid w:val="00597C37"/>
    <w:rsid w:val="005A50C9"/>
    <w:rsid w:val="005B0762"/>
    <w:rsid w:val="005D26E3"/>
    <w:rsid w:val="005E42F5"/>
    <w:rsid w:val="00623D3A"/>
    <w:rsid w:val="0065616C"/>
    <w:rsid w:val="00676870"/>
    <w:rsid w:val="0068150D"/>
    <w:rsid w:val="00681983"/>
    <w:rsid w:val="00691085"/>
    <w:rsid w:val="00697B3B"/>
    <w:rsid w:val="006C632B"/>
    <w:rsid w:val="006F53A9"/>
    <w:rsid w:val="00706B34"/>
    <w:rsid w:val="007178B7"/>
    <w:rsid w:val="00736667"/>
    <w:rsid w:val="00744005"/>
    <w:rsid w:val="00752F94"/>
    <w:rsid w:val="007A7882"/>
    <w:rsid w:val="007B55AE"/>
    <w:rsid w:val="007D5DC3"/>
    <w:rsid w:val="007E693E"/>
    <w:rsid w:val="00806215"/>
    <w:rsid w:val="008529A7"/>
    <w:rsid w:val="00884B7A"/>
    <w:rsid w:val="008A0548"/>
    <w:rsid w:val="008C408D"/>
    <w:rsid w:val="008D053A"/>
    <w:rsid w:val="008E7BD2"/>
    <w:rsid w:val="008F6AF5"/>
    <w:rsid w:val="0090174D"/>
    <w:rsid w:val="009135E9"/>
    <w:rsid w:val="00917BCE"/>
    <w:rsid w:val="009258B4"/>
    <w:rsid w:val="0092725E"/>
    <w:rsid w:val="00941622"/>
    <w:rsid w:val="00960B10"/>
    <w:rsid w:val="00977DD3"/>
    <w:rsid w:val="009A79E1"/>
    <w:rsid w:val="009B188C"/>
    <w:rsid w:val="009C36DF"/>
    <w:rsid w:val="009D1E84"/>
    <w:rsid w:val="009E12FF"/>
    <w:rsid w:val="009E6476"/>
    <w:rsid w:val="009F4600"/>
    <w:rsid w:val="009F6DB1"/>
    <w:rsid w:val="00A56A1E"/>
    <w:rsid w:val="00A648F9"/>
    <w:rsid w:val="00A65AB5"/>
    <w:rsid w:val="00A95D86"/>
    <w:rsid w:val="00A967A8"/>
    <w:rsid w:val="00AD3160"/>
    <w:rsid w:val="00AE09CE"/>
    <w:rsid w:val="00AF0148"/>
    <w:rsid w:val="00AF02D6"/>
    <w:rsid w:val="00B03C3E"/>
    <w:rsid w:val="00B104D6"/>
    <w:rsid w:val="00B15304"/>
    <w:rsid w:val="00B30844"/>
    <w:rsid w:val="00B319D1"/>
    <w:rsid w:val="00B41790"/>
    <w:rsid w:val="00B52372"/>
    <w:rsid w:val="00B83D86"/>
    <w:rsid w:val="00B87C58"/>
    <w:rsid w:val="00BA3D85"/>
    <w:rsid w:val="00BA7CEA"/>
    <w:rsid w:val="00BD369E"/>
    <w:rsid w:val="00BD6BAE"/>
    <w:rsid w:val="00BF5FC0"/>
    <w:rsid w:val="00C00358"/>
    <w:rsid w:val="00C2461A"/>
    <w:rsid w:val="00C7038B"/>
    <w:rsid w:val="00C75967"/>
    <w:rsid w:val="00C77A0C"/>
    <w:rsid w:val="00CC1D46"/>
    <w:rsid w:val="00CE5E6F"/>
    <w:rsid w:val="00D1515E"/>
    <w:rsid w:val="00D1619E"/>
    <w:rsid w:val="00D96D88"/>
    <w:rsid w:val="00DB7684"/>
    <w:rsid w:val="00DC1C4D"/>
    <w:rsid w:val="00DE24A0"/>
    <w:rsid w:val="00DF0351"/>
    <w:rsid w:val="00DF2ED0"/>
    <w:rsid w:val="00DF4153"/>
    <w:rsid w:val="00DF43B6"/>
    <w:rsid w:val="00E018F7"/>
    <w:rsid w:val="00E12ED9"/>
    <w:rsid w:val="00E35DB0"/>
    <w:rsid w:val="00E41693"/>
    <w:rsid w:val="00E4182B"/>
    <w:rsid w:val="00E567D9"/>
    <w:rsid w:val="00E82531"/>
    <w:rsid w:val="00E954E9"/>
    <w:rsid w:val="00E97793"/>
    <w:rsid w:val="00EA51CA"/>
    <w:rsid w:val="00EF3882"/>
    <w:rsid w:val="00EF3C51"/>
    <w:rsid w:val="00F0151C"/>
    <w:rsid w:val="00F231CD"/>
    <w:rsid w:val="00F552F0"/>
    <w:rsid w:val="00F7121A"/>
    <w:rsid w:val="00F7447D"/>
    <w:rsid w:val="00F75C07"/>
    <w:rsid w:val="00F94D8B"/>
    <w:rsid w:val="00FB28EC"/>
    <w:rsid w:val="00FB6A08"/>
    <w:rsid w:val="00FC183D"/>
    <w:rsid w:val="00FD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675B7"/>
  <w15:docId w15:val="{0B22BC86-5F2A-43C1-9458-2A0BEA40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9"/>
    <w:qFormat/>
    <w:rsid w:val="00F94D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5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E35DB0"/>
  </w:style>
  <w:style w:type="character" w:customStyle="1" w:styleId="apple-converted-space">
    <w:name w:val="apple-converted-space"/>
    <w:rsid w:val="00E35DB0"/>
  </w:style>
  <w:style w:type="paragraph" w:styleId="En-tte">
    <w:name w:val="header"/>
    <w:basedOn w:val="Normal"/>
    <w:link w:val="En-tteCar"/>
    <w:uiPriority w:val="99"/>
    <w:unhideWhenUsed/>
    <w:rsid w:val="00C7038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C7038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7038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C7038B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F94D8B"/>
    <w:rPr>
      <w:rFonts w:ascii="Times New Roman" w:eastAsia="Times New Roman" w:hAnsi="Times New Roman"/>
      <w:b/>
      <w:bCs/>
      <w:sz w:val="36"/>
      <w:szCs w:val="3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C408D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8C408D"/>
    <w:rPr>
      <w:lang w:eastAsia="en-US"/>
    </w:rPr>
  </w:style>
  <w:style w:type="character" w:styleId="Appelnotedebasdep">
    <w:name w:val="footnote reference"/>
    <w:uiPriority w:val="99"/>
    <w:semiHidden/>
    <w:unhideWhenUsed/>
    <w:rsid w:val="008C408D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2461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5E42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2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E42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2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E42F5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10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638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MSSS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Johanne Pelletier</dc:creator>
  <cp:lastModifiedBy>Marjorie Noël</cp:lastModifiedBy>
  <cp:revision>11</cp:revision>
  <cp:lastPrinted>2020-08-03T18:23:00Z</cp:lastPrinted>
  <dcterms:created xsi:type="dcterms:W3CDTF">2020-07-02T12:36:00Z</dcterms:created>
  <dcterms:modified xsi:type="dcterms:W3CDTF">2021-03-29T21:22:00Z</dcterms:modified>
</cp:coreProperties>
</file>